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2B48" w14:textId="77777777" w:rsidR="00B1261E" w:rsidRDefault="00B1261E" w:rsidP="00EB2BD9">
      <w:pPr>
        <w:spacing w:after="0"/>
      </w:pPr>
      <w:r>
        <w:t>Robert P. Roberts Jr.</w:t>
      </w:r>
    </w:p>
    <w:p w14:paraId="11252D79" w14:textId="77777777" w:rsidR="00B1261E" w:rsidRDefault="00B1261E" w:rsidP="00EB2BD9">
      <w:pPr>
        <w:spacing w:after="0"/>
      </w:pPr>
      <w:r>
        <w:t>8231 E, Wade Ln 46555</w:t>
      </w:r>
    </w:p>
    <w:p w14:paraId="28512FC0" w14:textId="77777777" w:rsidR="00B1261E" w:rsidRDefault="00B1261E" w:rsidP="00EB2BD9">
      <w:pPr>
        <w:spacing w:after="0"/>
      </w:pPr>
      <w:r>
        <w:t xml:space="preserve">910 </w:t>
      </w:r>
      <w:proofErr w:type="spellStart"/>
      <w:r>
        <w:t>forset</w:t>
      </w:r>
      <w:proofErr w:type="spellEnd"/>
      <w:r>
        <w:t xml:space="preserve"> Blvd S. Dr. 46240</w:t>
      </w:r>
    </w:p>
    <w:p w14:paraId="2FFC7E76" w14:textId="45E3F0D4" w:rsidR="00B1261E" w:rsidRDefault="00B1261E" w:rsidP="00EB2BD9">
      <w:pPr>
        <w:spacing w:after="0"/>
      </w:pPr>
      <w:hyperlink r:id="rId7" w:history="1">
        <w:r w:rsidRPr="008C15A8">
          <w:rPr>
            <w:rStyle w:val="Hyperlink"/>
          </w:rPr>
          <w:t>Rprjr910@yahoo.com</w:t>
        </w:r>
      </w:hyperlink>
    </w:p>
    <w:p w14:paraId="54B8F9CE" w14:textId="77777777" w:rsidR="00B1261E" w:rsidRDefault="00B1261E" w:rsidP="00EB2BD9">
      <w:pPr>
        <w:spacing w:after="0"/>
      </w:pPr>
    </w:p>
    <w:p w14:paraId="0799BAF2" w14:textId="549AE110" w:rsidR="000C3ADC" w:rsidRDefault="00536006" w:rsidP="00EB2BD9">
      <w:pPr>
        <w:spacing w:after="0"/>
      </w:pPr>
      <w:r>
        <w:t>Pier 35 Compliance – in regard to you letter Aug 27</w:t>
      </w:r>
      <w:r w:rsidRPr="00536006">
        <w:rPr>
          <w:vertAlign w:val="superscript"/>
        </w:rPr>
        <w:t>th</w:t>
      </w:r>
      <w:r>
        <w:t xml:space="preserve"> 2018 to EFAC</w:t>
      </w:r>
    </w:p>
    <w:p w14:paraId="6A2CEF95" w14:textId="77777777" w:rsidR="00E066E4" w:rsidRDefault="00E066E4" w:rsidP="00EB2BD9">
      <w:pPr>
        <w:spacing w:after="0"/>
      </w:pPr>
    </w:p>
    <w:p w14:paraId="6FD72F5F" w14:textId="709E32FE" w:rsidR="00536006" w:rsidRDefault="00536006" w:rsidP="00EB2BD9">
      <w:pPr>
        <w:spacing w:after="0"/>
      </w:pPr>
      <w:r>
        <w:t>All correspondence associated with this non-compliance issue sent via certified US Mail to your home address 910 Forest Blvd S. Drive, Indianapolis IN and return receipts f</w:t>
      </w:r>
      <w:r w:rsidR="005F4701">
        <w:t>rom</w:t>
      </w:r>
      <w:r>
        <w:t xml:space="preserve"> the deliveries have been returned.</w:t>
      </w:r>
      <w:r w:rsidR="009B356C">
        <w:t xml:space="preserve">  EFAC, also had an email address</w:t>
      </w:r>
      <w:r w:rsidR="00131D49">
        <w:t xml:space="preserve"> in our records </w:t>
      </w:r>
      <w:r w:rsidR="009B356C">
        <w:t>for Nelson</w:t>
      </w:r>
      <w:r w:rsidR="00131D49">
        <w:t xml:space="preserve">, </w:t>
      </w:r>
      <w:r w:rsidR="009B356C">
        <w:t xml:space="preserve">an email copy </w:t>
      </w:r>
      <w:r w:rsidR="00131D49">
        <w:t xml:space="preserve">was sent </w:t>
      </w:r>
      <w:r w:rsidR="00491FF2">
        <w:t xml:space="preserve">to </w:t>
      </w:r>
      <w:r w:rsidR="00E066E4">
        <w:t>this</w:t>
      </w:r>
      <w:r w:rsidR="00131D49">
        <w:t xml:space="preserve"> address.  </w:t>
      </w:r>
      <w:r w:rsidR="005F4701">
        <w:t>We now have your email address and will send correspondence to this address as well.</w:t>
      </w:r>
    </w:p>
    <w:p w14:paraId="0C0888C2" w14:textId="77777777" w:rsidR="00E066E4" w:rsidRDefault="00E066E4" w:rsidP="00EB2BD9">
      <w:pPr>
        <w:spacing w:after="0"/>
      </w:pPr>
    </w:p>
    <w:p w14:paraId="0297809B" w14:textId="48E8D18B" w:rsidR="00131D49" w:rsidRDefault="00E066E4" w:rsidP="00EB2BD9">
      <w:pPr>
        <w:spacing w:after="0"/>
      </w:pPr>
      <w:r>
        <w:t>Further clarifications since 2014 by Kosciusko Circuit Court Orders have changed the original assumptions made by the EFAC Board, On-shore &amp; Off-shore owners.</w:t>
      </w:r>
    </w:p>
    <w:p w14:paraId="64D90E40" w14:textId="77777777" w:rsidR="00E066E4" w:rsidRDefault="00E066E4" w:rsidP="00EB2BD9">
      <w:pPr>
        <w:spacing w:after="0"/>
      </w:pPr>
    </w:p>
    <w:p w14:paraId="06F47AF0" w14:textId="226B8283" w:rsidR="00E066E4" w:rsidRDefault="00EB2BD9" w:rsidP="00EB2BD9">
      <w:pPr>
        <w:spacing w:after="0"/>
      </w:pPr>
      <w:r>
        <w:t>April 15</w:t>
      </w:r>
      <w:r w:rsidRPr="00EB2BD9">
        <w:rPr>
          <w:vertAlign w:val="superscript"/>
        </w:rPr>
        <w:t>th</w:t>
      </w:r>
      <w:r>
        <w:t xml:space="preserve"> 2004 - </w:t>
      </w:r>
      <w:r w:rsidR="00E066E4">
        <w:t>Cause No. 43</w:t>
      </w:r>
      <w:r w:rsidR="00EF5779">
        <w:t>C</w:t>
      </w:r>
      <w:r w:rsidR="00E066E4">
        <w:t>01-9109-CP-00732 Section 14 sub-set (o) page 5</w:t>
      </w:r>
    </w:p>
    <w:p w14:paraId="05432F6E" w14:textId="5FF78DF1" w:rsidR="00E066E4" w:rsidRDefault="00E066E4" w:rsidP="00EB2BD9">
      <w:pPr>
        <w:pStyle w:val="ListParagraph"/>
        <w:numPr>
          <w:ilvl w:val="0"/>
          <w:numId w:val="1"/>
        </w:numPr>
        <w:spacing w:after="0"/>
      </w:pPr>
      <w:r>
        <w:t>A presumption will exist of one off-shore pier per on shore lot</w:t>
      </w:r>
    </w:p>
    <w:p w14:paraId="77EEB157" w14:textId="77777777" w:rsidR="00E066E4" w:rsidRDefault="00E066E4" w:rsidP="00EB2BD9">
      <w:pPr>
        <w:spacing w:after="0"/>
      </w:pPr>
    </w:p>
    <w:p w14:paraId="33B95C3C" w14:textId="2ABCFD2D" w:rsidR="00E066E4" w:rsidRDefault="00EB2BD9" w:rsidP="00EB2BD9">
      <w:pPr>
        <w:spacing w:after="0"/>
      </w:pPr>
      <w:r>
        <w:t>January 21</w:t>
      </w:r>
      <w:r w:rsidRPr="00EB2BD9">
        <w:rPr>
          <w:vertAlign w:val="superscript"/>
        </w:rPr>
        <w:t>st</w:t>
      </w:r>
      <w:r>
        <w:t xml:space="preserve"> 2014 – Case No. 43C01-9109-CP-732 Further Findings and Orders</w:t>
      </w:r>
    </w:p>
    <w:p w14:paraId="2F497367" w14:textId="7228E71C" w:rsidR="00EB2BD9" w:rsidRDefault="007E69EC" w:rsidP="00EB2BD9">
      <w:pPr>
        <w:pStyle w:val="ListParagraph"/>
        <w:numPr>
          <w:ilvl w:val="0"/>
          <w:numId w:val="1"/>
        </w:numPr>
        <w:spacing w:after="0"/>
      </w:pPr>
      <w:r>
        <w:t>Item 2 - i</w:t>
      </w:r>
      <w:r w:rsidR="00EB2BD9">
        <w:t>dentifies Exhibit “E” as part of the Court Findings and Orders</w:t>
      </w:r>
      <w:r>
        <w:t xml:space="preserve"> – this document can be found on the EFAC website.</w:t>
      </w:r>
    </w:p>
    <w:p w14:paraId="11CF8B02" w14:textId="5C7F59F3" w:rsidR="007E69EC" w:rsidRDefault="007E69EC" w:rsidP="007E69EC">
      <w:pPr>
        <w:pStyle w:val="ListParagraph"/>
        <w:numPr>
          <w:ilvl w:val="1"/>
          <w:numId w:val="1"/>
        </w:numPr>
        <w:spacing w:after="0"/>
      </w:pPr>
      <w:r>
        <w:t>This document shows assignment of a pier 35B (35A new pier numbering) at your location</w:t>
      </w:r>
    </w:p>
    <w:p w14:paraId="7E2716FD" w14:textId="69236D8E" w:rsidR="007E69EC" w:rsidRDefault="007E69EC" w:rsidP="00EB2BD9">
      <w:pPr>
        <w:pStyle w:val="ListParagraph"/>
        <w:numPr>
          <w:ilvl w:val="0"/>
          <w:numId w:val="1"/>
        </w:numPr>
        <w:spacing w:after="0"/>
      </w:pPr>
      <w:r>
        <w:t>Item 9 - again shows Exhibit “E” as part of the Court Findings and Orders</w:t>
      </w:r>
    </w:p>
    <w:p w14:paraId="6B350B50" w14:textId="77777777" w:rsidR="00A306B4" w:rsidRDefault="00A306B4" w:rsidP="00A306B4">
      <w:pPr>
        <w:spacing w:after="0"/>
      </w:pPr>
    </w:p>
    <w:p w14:paraId="3332D1D0" w14:textId="4EAEB7D6" w:rsidR="00A306B4" w:rsidRDefault="00A306B4" w:rsidP="00A306B4">
      <w:pPr>
        <w:spacing w:after="0"/>
      </w:pPr>
      <w:r>
        <w:t>September 9</w:t>
      </w:r>
      <w:r w:rsidRPr="00A306B4">
        <w:rPr>
          <w:vertAlign w:val="superscript"/>
        </w:rPr>
        <w:t>th</w:t>
      </w:r>
      <w:r>
        <w:t xml:space="preserve"> 2016 – case # 43C01-1602-MI_47</w:t>
      </w:r>
      <w:r w:rsidR="001E0DF5">
        <w:t xml:space="preserve"> Findings of Fact</w:t>
      </w:r>
    </w:p>
    <w:p w14:paraId="0F2EDA29" w14:textId="01957465" w:rsidR="00A306B4" w:rsidRDefault="001E0DF5" w:rsidP="00EB2BD9">
      <w:pPr>
        <w:pStyle w:val="ListParagraph"/>
        <w:numPr>
          <w:ilvl w:val="0"/>
          <w:numId w:val="1"/>
        </w:numPr>
        <w:spacing w:after="0"/>
      </w:pPr>
      <w:r>
        <w:t xml:space="preserve">No. 4 - </w:t>
      </w:r>
      <w:r w:rsidR="00A306B4">
        <w:t>The location of pier assignments on the Lakefront Lot was approved by the Court in its Order entered January 21</w:t>
      </w:r>
      <w:r w:rsidR="00A306B4" w:rsidRPr="00A306B4">
        <w:rPr>
          <w:vertAlign w:val="superscript"/>
        </w:rPr>
        <w:t>st</w:t>
      </w:r>
      <w:r w:rsidR="00A306B4">
        <w:t>, 2014 in Cause No, 43C01-9109-CP-732</w:t>
      </w:r>
    </w:p>
    <w:p w14:paraId="46599FD9" w14:textId="791F9FB2" w:rsidR="00A306B4" w:rsidRDefault="001E0DF5" w:rsidP="00EB2BD9">
      <w:pPr>
        <w:pStyle w:val="ListParagraph"/>
        <w:numPr>
          <w:ilvl w:val="0"/>
          <w:numId w:val="1"/>
        </w:numPr>
        <w:spacing w:after="0"/>
      </w:pPr>
      <w:r>
        <w:t xml:space="preserve">No. 7 - </w:t>
      </w:r>
      <w:r w:rsidR="00A306B4">
        <w:t>The rights and obligations of non-lakefront owners of lots in the Plats of Epworth Forest have been determined by judgement and various orders of the court in Cause No. 43C01-9109-CP-732, in particular, the Judgement entered august 2</w:t>
      </w:r>
      <w:r w:rsidR="00A306B4" w:rsidRPr="00A306B4">
        <w:rPr>
          <w:vertAlign w:val="superscript"/>
        </w:rPr>
        <w:t>nd</w:t>
      </w:r>
      <w:r w:rsidR="00A306B4">
        <w:t xml:space="preserve"> 1994 (Exhibit 2)</w:t>
      </w:r>
      <w:r w:rsidR="00ED43F9">
        <w:t xml:space="preserve">, </w:t>
      </w:r>
      <w:r w:rsidR="00133847">
        <w:t>the</w:t>
      </w:r>
      <w:r w:rsidR="00ED43F9">
        <w:t xml:space="preserve"> Order dated November 7</w:t>
      </w:r>
      <w:r w:rsidR="00ED43F9" w:rsidRPr="00ED43F9">
        <w:rPr>
          <w:vertAlign w:val="superscript"/>
        </w:rPr>
        <w:t>th</w:t>
      </w:r>
      <w:r w:rsidR="00ED43F9">
        <w:t xml:space="preserve"> 1997 (Exhibit</w:t>
      </w:r>
      <w:r w:rsidR="00133847">
        <w:t xml:space="preserve"> 3), the Order dated January 21</w:t>
      </w:r>
      <w:r w:rsidR="00133847" w:rsidRPr="00133847">
        <w:rPr>
          <w:vertAlign w:val="superscript"/>
        </w:rPr>
        <w:t>st</w:t>
      </w:r>
      <w:r w:rsidR="00133847">
        <w:t xml:space="preserve"> 2014 Exhibit 5) and the order dated April 15</w:t>
      </w:r>
      <w:r w:rsidR="00133847" w:rsidRPr="00133847">
        <w:rPr>
          <w:vertAlign w:val="superscript"/>
        </w:rPr>
        <w:t>th</w:t>
      </w:r>
      <w:r w:rsidR="00133847">
        <w:t xml:space="preserve"> 20014 (Exhibit 6).</w:t>
      </w:r>
    </w:p>
    <w:p w14:paraId="10C4AA9A" w14:textId="00174053" w:rsidR="00E84729" w:rsidRDefault="001E0DF5" w:rsidP="00EB2BD9">
      <w:pPr>
        <w:pStyle w:val="ListParagraph"/>
        <w:numPr>
          <w:ilvl w:val="0"/>
          <w:numId w:val="1"/>
        </w:numPr>
        <w:spacing w:after="0"/>
      </w:pPr>
      <w:r>
        <w:t xml:space="preserve">No. 11 - </w:t>
      </w:r>
      <w:r w:rsidR="00E84729">
        <w:t>Exhibit E to Exhibit 5 is a listing of assigned pier spaces approved by the Court as part of it</w:t>
      </w:r>
      <w:r w:rsidR="00491FF2">
        <w:t>s</w:t>
      </w:r>
      <w:r w:rsidR="00E84729">
        <w:t xml:space="preserve"> Order dated January 21</w:t>
      </w:r>
      <w:r w:rsidR="00E84729" w:rsidRPr="00E84729">
        <w:rPr>
          <w:vertAlign w:val="superscript"/>
        </w:rPr>
        <w:t>st</w:t>
      </w:r>
      <w:r w:rsidR="00E84729">
        <w:t xml:space="preserve"> 2014.</w:t>
      </w:r>
      <w:r>
        <w:t xml:space="preserve">  A 50ft frontage consists of 16ft assigned to non-lakefront owner and 24ft to on-shore owner.</w:t>
      </w:r>
    </w:p>
    <w:p w14:paraId="2930A178" w14:textId="4B538EFD" w:rsidR="001E0DF5" w:rsidRDefault="001E0DF5" w:rsidP="00EB2BD9">
      <w:pPr>
        <w:pStyle w:val="ListParagraph"/>
        <w:numPr>
          <w:ilvl w:val="0"/>
          <w:numId w:val="1"/>
        </w:numPr>
        <w:spacing w:after="0"/>
      </w:pPr>
      <w:r>
        <w:t>No. 13 – The Courts Order dated January 21</w:t>
      </w:r>
      <w:r w:rsidRPr="001E0DF5">
        <w:rPr>
          <w:vertAlign w:val="superscript"/>
        </w:rPr>
        <w:t>st</w:t>
      </w:r>
      <w:r>
        <w:t xml:space="preserve"> 2014 provided assignment of a certain location zone for pier and other equipment usage as noted on the list and map showing pier assignments for 2014 attached to the Court’s Order as Exhibit E.</w:t>
      </w:r>
    </w:p>
    <w:p w14:paraId="56FF9C8F" w14:textId="67190185" w:rsidR="00E84729" w:rsidRDefault="001E0DF5" w:rsidP="00EB2BD9">
      <w:pPr>
        <w:pStyle w:val="ListParagraph"/>
        <w:numPr>
          <w:ilvl w:val="0"/>
          <w:numId w:val="1"/>
        </w:numPr>
        <w:spacing w:after="0"/>
      </w:pPr>
      <w:r>
        <w:t>No. 14 – It was further the Court’s intention, and order, that the pier assignments based on Exhibit E</w:t>
      </w:r>
      <w:r w:rsidR="00E44D5E">
        <w:t xml:space="preserve"> was assigned based on an allocation of the frontage of each lot and created a zone of use for these assignments (an actual area assignment).</w:t>
      </w:r>
    </w:p>
    <w:p w14:paraId="5FDEEC38" w14:textId="77777777" w:rsidR="00BB67BA" w:rsidRDefault="00BB67BA" w:rsidP="00BB67BA">
      <w:pPr>
        <w:pStyle w:val="ListParagraph"/>
        <w:spacing w:after="0"/>
      </w:pPr>
    </w:p>
    <w:p w14:paraId="455C3BB5" w14:textId="1CEA3423" w:rsidR="00F860FC" w:rsidRDefault="00F860FC" w:rsidP="00EB2BD9">
      <w:pPr>
        <w:pStyle w:val="ListParagraph"/>
        <w:numPr>
          <w:ilvl w:val="0"/>
          <w:numId w:val="1"/>
        </w:numPr>
        <w:spacing w:after="0"/>
      </w:pPr>
      <w:r>
        <w:lastRenderedPageBreak/>
        <w:t>No.-20 – the court’s Order of January 21</w:t>
      </w:r>
      <w:r w:rsidRPr="00F860FC">
        <w:rPr>
          <w:vertAlign w:val="superscript"/>
        </w:rPr>
        <w:t>st</w:t>
      </w:r>
      <w:r>
        <w:t xml:space="preserve"> 20014 in Cause No. 43C01-9109-CP-732 established the area (zone) along the shoreline assigned to particular onshore and off shore owners.  That Order was based on historic usage of the shoreline and not necessarily the exact location of a pier within the assigned shoreline.</w:t>
      </w:r>
    </w:p>
    <w:p w14:paraId="47EDA011" w14:textId="77777777" w:rsidR="00E23A7A" w:rsidRDefault="00E23A7A" w:rsidP="00E23A7A">
      <w:pPr>
        <w:tabs>
          <w:tab w:val="left" w:pos="4110"/>
        </w:tabs>
        <w:spacing w:after="0"/>
      </w:pPr>
      <w:bookmarkStart w:id="0" w:name="_GoBack"/>
      <w:bookmarkEnd w:id="0"/>
    </w:p>
    <w:p w14:paraId="57327F92" w14:textId="320D6BCF" w:rsidR="00E23A7A" w:rsidRDefault="00E23A7A" w:rsidP="00E23A7A">
      <w:pPr>
        <w:tabs>
          <w:tab w:val="left" w:pos="4110"/>
        </w:tabs>
        <w:spacing w:after="0"/>
      </w:pPr>
      <w:r>
        <w:t>STATE OF INDIANA COURT OF APPEALS - Cause no. 43A03-1610-MI-02332</w:t>
      </w:r>
    </w:p>
    <w:p w14:paraId="0EAFE053" w14:textId="4EE072E7" w:rsidR="00E23A7A" w:rsidRDefault="00E23A7A" w:rsidP="00E23A7A">
      <w:pPr>
        <w:pStyle w:val="ListParagraph"/>
        <w:numPr>
          <w:ilvl w:val="0"/>
          <w:numId w:val="2"/>
        </w:numPr>
        <w:tabs>
          <w:tab w:val="left" w:pos="4110"/>
        </w:tabs>
        <w:spacing w:after="0"/>
      </w:pPr>
      <w:r>
        <w:t>Item 2. – The maximum allowable width* for shoreline pier space assigned to a lakefront owner is 24ft.</w:t>
      </w:r>
    </w:p>
    <w:p w14:paraId="13A4F385" w14:textId="7580CF50" w:rsidR="00E23A7A" w:rsidRPr="00E23A7A" w:rsidRDefault="00E23A7A" w:rsidP="00E23A7A">
      <w:pPr>
        <w:pStyle w:val="ListParagraph"/>
        <w:numPr>
          <w:ilvl w:val="1"/>
          <w:numId w:val="2"/>
        </w:numPr>
        <w:tabs>
          <w:tab w:val="left" w:pos="4110"/>
        </w:tabs>
        <w:spacing w:after="0"/>
        <w:rPr>
          <w:i/>
        </w:rPr>
      </w:pPr>
      <w:r w:rsidRPr="00E23A7A">
        <w:rPr>
          <w:i/>
        </w:rPr>
        <w:t xml:space="preserve">*Width refers to space used by an assigned owner for pier sections, watercraft, or any other personal property that takes up space in the water or along the shoreline.  Measurement is the total width taken from the far-left to the far-right item (for example, pier, boat, jet ski, securing pole/auger, </w:t>
      </w:r>
      <w:proofErr w:type="spellStart"/>
      <w:r w:rsidRPr="00E23A7A">
        <w:rPr>
          <w:i/>
        </w:rPr>
        <w:t>etc</w:t>
      </w:r>
      <w:proofErr w:type="spellEnd"/>
      <w:r w:rsidRPr="00E23A7A">
        <w:rPr>
          <w:i/>
        </w:rPr>
        <w:t>,)</w:t>
      </w:r>
    </w:p>
    <w:p w14:paraId="059FC282" w14:textId="77777777" w:rsidR="00F860FC" w:rsidRDefault="00F860FC" w:rsidP="00F860FC">
      <w:pPr>
        <w:spacing w:after="0"/>
      </w:pPr>
    </w:p>
    <w:p w14:paraId="358D23EC" w14:textId="77777777" w:rsidR="0084374A" w:rsidRDefault="001C3D01" w:rsidP="007E69EC">
      <w:pPr>
        <w:spacing w:after="0"/>
      </w:pPr>
      <w:r>
        <w:t xml:space="preserve">In conclusion, Bradley and EFAC did have the right to assign pier 35B (A) to the shoreline.  </w:t>
      </w:r>
      <w:proofErr w:type="spellStart"/>
      <w:r>
        <w:t>EFAC’s</w:t>
      </w:r>
      <w:proofErr w:type="spellEnd"/>
      <w:r>
        <w:t xml:space="preserve"> prior interpretation of pier spacing </w:t>
      </w:r>
      <w:r w:rsidR="00B8136F">
        <w:t xml:space="preserve">being centered on the pier structure </w:t>
      </w:r>
      <w:r>
        <w:t>was in error</w:t>
      </w:r>
      <w:r w:rsidR="00B8136F">
        <w:t xml:space="preserve">, the Court has further defined in subsequent Court Orders as stated above and upheld by the STATE OF INDIANA COURT OF APPEALS </w:t>
      </w:r>
      <w:r w:rsidR="0084374A">
        <w:t xml:space="preserve">that a zone of 24ft is assigned to the Lakefront owner, which allows adequate space for Pier 35A to be installed and maintain the required safety spacing.  The Court has approved spacing for a 50ft lot with both onshore and offshore piers as seen at lot 34.  </w:t>
      </w:r>
    </w:p>
    <w:p w14:paraId="421FF7CB" w14:textId="77777777" w:rsidR="008224A5" w:rsidRDefault="008224A5" w:rsidP="007E69EC">
      <w:pPr>
        <w:spacing w:after="0"/>
      </w:pPr>
    </w:p>
    <w:p w14:paraId="610EAEC3" w14:textId="2A2774E6" w:rsidR="00536006" w:rsidRDefault="008224A5" w:rsidP="008224A5">
      <w:pPr>
        <w:spacing w:after="0"/>
      </w:pPr>
      <w:r>
        <w:t>In regard to your 2014 email other lots with spacing issues and easement blockages that are not in compliance with the Courts clarifications since 2014 are being addressed and we will continue to move forward so that all will be following the Courts Orders.</w:t>
      </w:r>
    </w:p>
    <w:p w14:paraId="0D58338C" w14:textId="0BBE4838" w:rsidR="008224A5" w:rsidRDefault="008224A5" w:rsidP="008224A5">
      <w:pPr>
        <w:spacing w:after="0"/>
      </w:pPr>
    </w:p>
    <w:p w14:paraId="682A3CE3" w14:textId="77777777" w:rsidR="00353D4C" w:rsidRDefault="00353D4C" w:rsidP="00353D4C">
      <w:pPr>
        <w:spacing w:after="0"/>
      </w:pPr>
      <w:r>
        <w:t>To reference any of the court approved documents/judgements governing EFAC, visit efpier.org</w:t>
      </w:r>
    </w:p>
    <w:p w14:paraId="376EAD01" w14:textId="77777777" w:rsidR="00353D4C" w:rsidRDefault="00353D4C" w:rsidP="00353D4C">
      <w:pPr>
        <w:spacing w:after="0"/>
      </w:pPr>
    </w:p>
    <w:p w14:paraId="2BEFBF5B" w14:textId="77777777" w:rsidR="00353D4C" w:rsidRDefault="00353D4C" w:rsidP="00353D4C">
      <w:pPr>
        <w:spacing w:after="0"/>
      </w:pPr>
      <w:r>
        <w:t>Thank you,</w:t>
      </w:r>
    </w:p>
    <w:p w14:paraId="278CBE2F" w14:textId="77777777" w:rsidR="00353D4C" w:rsidRDefault="00353D4C" w:rsidP="00353D4C">
      <w:pPr>
        <w:spacing w:after="0"/>
      </w:pPr>
      <w:r>
        <w:t>Approved by EFAC Board of Directors</w:t>
      </w:r>
    </w:p>
    <w:p w14:paraId="5D68C66C" w14:textId="77777777" w:rsidR="00353D4C" w:rsidRDefault="00353D4C" w:rsidP="00353D4C">
      <w:pPr>
        <w:spacing w:after="0"/>
      </w:pPr>
      <w:r>
        <w:t>R. Presser – President</w:t>
      </w:r>
    </w:p>
    <w:p w14:paraId="179103AA" w14:textId="77777777" w:rsidR="00353D4C" w:rsidRDefault="00353D4C" w:rsidP="00353D4C">
      <w:pPr>
        <w:spacing w:after="0"/>
      </w:pPr>
      <w:r>
        <w:t>K. Lusby – Vice President</w:t>
      </w:r>
    </w:p>
    <w:p w14:paraId="31464FD9" w14:textId="77777777" w:rsidR="00353D4C" w:rsidRDefault="00353D4C" w:rsidP="00353D4C">
      <w:pPr>
        <w:spacing w:after="0"/>
      </w:pPr>
      <w:r>
        <w:t xml:space="preserve">R. </w:t>
      </w:r>
      <w:proofErr w:type="spellStart"/>
      <w:r>
        <w:t>Plew</w:t>
      </w:r>
      <w:proofErr w:type="spellEnd"/>
      <w:r>
        <w:t xml:space="preserve"> – Treasurer</w:t>
      </w:r>
    </w:p>
    <w:p w14:paraId="71720F6C" w14:textId="77777777" w:rsidR="00353D4C" w:rsidRDefault="00353D4C" w:rsidP="00353D4C">
      <w:pPr>
        <w:spacing w:after="0"/>
      </w:pPr>
      <w:r>
        <w:t>G. Powell – Secretary</w:t>
      </w:r>
    </w:p>
    <w:p w14:paraId="3FC68909" w14:textId="77777777" w:rsidR="00353D4C" w:rsidRDefault="00353D4C" w:rsidP="00353D4C">
      <w:pPr>
        <w:spacing w:after="0"/>
      </w:pPr>
    </w:p>
    <w:p w14:paraId="3E840034" w14:textId="77777777" w:rsidR="00353D4C" w:rsidRDefault="00353D4C" w:rsidP="00353D4C">
      <w:pPr>
        <w:spacing w:after="0"/>
      </w:pPr>
      <w:r>
        <w:t xml:space="preserve">Epworth Forest Administration Committee, </w:t>
      </w:r>
      <w:proofErr w:type="spellStart"/>
      <w:r>
        <w:t>inc.</w:t>
      </w:r>
      <w:proofErr w:type="spellEnd"/>
    </w:p>
    <w:p w14:paraId="69088DE0" w14:textId="77777777" w:rsidR="00353D4C" w:rsidRDefault="00353D4C" w:rsidP="00353D4C">
      <w:pPr>
        <w:spacing w:after="0"/>
      </w:pPr>
      <w:r>
        <w:t>PO Box 214, North Webster, in 46555</w:t>
      </w:r>
    </w:p>
    <w:p w14:paraId="0837B30E" w14:textId="77777777" w:rsidR="00353D4C" w:rsidRDefault="00353D4C" w:rsidP="00353D4C">
      <w:pPr>
        <w:spacing w:after="0"/>
      </w:pPr>
      <w:hyperlink r:id="rId8" w:history="1">
        <w:r w:rsidRPr="00695470">
          <w:rPr>
            <w:rStyle w:val="Hyperlink"/>
          </w:rPr>
          <w:t>www.efpier.org</w:t>
        </w:r>
      </w:hyperlink>
    </w:p>
    <w:p w14:paraId="5BDCCA0B" w14:textId="77777777" w:rsidR="00353D4C" w:rsidRDefault="00353D4C" w:rsidP="00353D4C">
      <w:pPr>
        <w:spacing w:after="0"/>
      </w:pPr>
      <w:r>
        <w:t>efpier@gmail.com</w:t>
      </w:r>
    </w:p>
    <w:p w14:paraId="1DE55554" w14:textId="77777777" w:rsidR="008224A5" w:rsidRDefault="008224A5" w:rsidP="008224A5">
      <w:pPr>
        <w:spacing w:after="0"/>
      </w:pPr>
    </w:p>
    <w:sectPr w:rsidR="008224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FEDE" w14:textId="77777777" w:rsidR="00B243E9" w:rsidRDefault="00B243E9" w:rsidP="00E066E4">
      <w:pPr>
        <w:spacing w:after="0" w:line="240" w:lineRule="auto"/>
      </w:pPr>
      <w:r>
        <w:separator/>
      </w:r>
    </w:p>
  </w:endnote>
  <w:endnote w:type="continuationSeparator" w:id="0">
    <w:p w14:paraId="72FF35F9" w14:textId="77777777" w:rsidR="00B243E9" w:rsidRDefault="00B243E9" w:rsidP="00E0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DFB6" w14:textId="77777777" w:rsidR="00B243E9" w:rsidRDefault="00B243E9" w:rsidP="00E066E4">
      <w:pPr>
        <w:spacing w:after="0" w:line="240" w:lineRule="auto"/>
      </w:pPr>
      <w:r>
        <w:separator/>
      </w:r>
    </w:p>
  </w:footnote>
  <w:footnote w:type="continuationSeparator" w:id="0">
    <w:p w14:paraId="4402ADBE" w14:textId="77777777" w:rsidR="00B243E9" w:rsidRDefault="00B243E9" w:rsidP="00E0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EACB" w14:textId="6283C6CC" w:rsidR="00E066E4" w:rsidRDefault="00E066E4">
    <w:pPr>
      <w:pStyle w:val="Header"/>
    </w:pPr>
  </w:p>
  <w:p w14:paraId="746E7418" w14:textId="77777777" w:rsidR="00E066E4" w:rsidRDefault="00E0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CF2"/>
    <w:multiLevelType w:val="hybridMultilevel"/>
    <w:tmpl w:val="EF7A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C17A2"/>
    <w:multiLevelType w:val="hybridMultilevel"/>
    <w:tmpl w:val="5FB8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06"/>
    <w:rsid w:val="000C3ADC"/>
    <w:rsid w:val="00131D49"/>
    <w:rsid w:val="00133847"/>
    <w:rsid w:val="001C3D01"/>
    <w:rsid w:val="001E0DF5"/>
    <w:rsid w:val="0034129B"/>
    <w:rsid w:val="00353D4C"/>
    <w:rsid w:val="00491FF2"/>
    <w:rsid w:val="00501384"/>
    <w:rsid w:val="00536006"/>
    <w:rsid w:val="005F4701"/>
    <w:rsid w:val="007E69EC"/>
    <w:rsid w:val="008224A5"/>
    <w:rsid w:val="0084374A"/>
    <w:rsid w:val="009B356C"/>
    <w:rsid w:val="009D4F98"/>
    <w:rsid w:val="00A306B4"/>
    <w:rsid w:val="00B1261E"/>
    <w:rsid w:val="00B243E9"/>
    <w:rsid w:val="00B8136F"/>
    <w:rsid w:val="00BB09E3"/>
    <w:rsid w:val="00BB67BA"/>
    <w:rsid w:val="00CF2A83"/>
    <w:rsid w:val="00E066E4"/>
    <w:rsid w:val="00E23A7A"/>
    <w:rsid w:val="00E44D5E"/>
    <w:rsid w:val="00E84729"/>
    <w:rsid w:val="00EB2BD9"/>
    <w:rsid w:val="00ED43F9"/>
    <w:rsid w:val="00EF5779"/>
    <w:rsid w:val="00F8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BADF"/>
  <w15:chartTrackingRefBased/>
  <w15:docId w15:val="{0AADC011-D258-487A-AB8C-9F4EDD9D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E4"/>
  </w:style>
  <w:style w:type="paragraph" w:styleId="Footer">
    <w:name w:val="footer"/>
    <w:basedOn w:val="Normal"/>
    <w:link w:val="FooterChar"/>
    <w:uiPriority w:val="99"/>
    <w:unhideWhenUsed/>
    <w:rsid w:val="00E0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E4"/>
  </w:style>
  <w:style w:type="paragraph" w:styleId="ListParagraph">
    <w:name w:val="List Paragraph"/>
    <w:basedOn w:val="Normal"/>
    <w:uiPriority w:val="34"/>
    <w:qFormat/>
    <w:rsid w:val="00E066E4"/>
    <w:pPr>
      <w:ind w:left="720"/>
      <w:contextualSpacing/>
    </w:pPr>
  </w:style>
  <w:style w:type="character" w:styleId="Hyperlink">
    <w:name w:val="Hyperlink"/>
    <w:basedOn w:val="DefaultParagraphFont"/>
    <w:uiPriority w:val="99"/>
    <w:unhideWhenUsed/>
    <w:rsid w:val="00B1261E"/>
    <w:rPr>
      <w:color w:val="0563C1" w:themeColor="hyperlink"/>
      <w:u w:val="single"/>
    </w:rPr>
  </w:style>
  <w:style w:type="character" w:styleId="UnresolvedMention">
    <w:name w:val="Unresolved Mention"/>
    <w:basedOn w:val="DefaultParagraphFont"/>
    <w:uiPriority w:val="99"/>
    <w:semiHidden/>
    <w:unhideWhenUsed/>
    <w:rsid w:val="00B1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pier.org" TargetMode="External"/><Relationship Id="rId3" Type="http://schemas.openxmlformats.org/officeDocument/2006/relationships/settings" Target="settings.xml"/><Relationship Id="rId7" Type="http://schemas.openxmlformats.org/officeDocument/2006/relationships/hyperlink" Target="mailto:Rprjr91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2018-09-18T23:53:00Z</dcterms:created>
  <dcterms:modified xsi:type="dcterms:W3CDTF">2018-09-19T21:07:00Z</dcterms:modified>
</cp:coreProperties>
</file>